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452DCA">
        <w:trPr>
          <w:trHeight w:val="667"/>
        </w:trPr>
        <w:tc>
          <w:tcPr>
            <w:tcW w:w="1260" w:type="dxa"/>
            <w:vAlign w:val="center"/>
          </w:tcPr>
          <w:p w14:paraId="24C0FFAB" w14:textId="6C08B0E4" w:rsidR="00D910B3" w:rsidRPr="00D910B3" w:rsidRDefault="00D910B3" w:rsidP="00452DCA">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20EA5722" w:rsidR="00D910B3" w:rsidRPr="0011335A" w:rsidRDefault="00452DCA" w:rsidP="00DC42A0">
            <w:pPr>
              <w:ind w:leftChars="50" w:left="105"/>
              <w:rPr>
                <w:rFonts w:ascii="游ゴシック" w:eastAsia="游ゴシック" w:hAnsi="游ゴシック"/>
                <w:b/>
                <w:bCs/>
                <w:szCs w:val="21"/>
              </w:rPr>
            </w:pPr>
            <w:r w:rsidRPr="00452DCA">
              <w:rPr>
                <w:rFonts w:ascii="游ゴシック" w:eastAsia="游ゴシック" w:hAnsi="游ゴシック" w:hint="eastAsia"/>
                <w:b/>
                <w:bCs/>
                <w:szCs w:val="21"/>
              </w:rPr>
              <w:t>④</w:t>
            </w:r>
            <w:r w:rsidRPr="00452DCA">
              <w:rPr>
                <w:rFonts w:ascii="游ゴシック" w:eastAsia="游ゴシック" w:hAnsi="游ゴシック"/>
                <w:b/>
                <w:bCs/>
                <w:szCs w:val="21"/>
              </w:rPr>
              <w:t>-7看取り等における看護サービスの活用に関する事例</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A8D2" w14:textId="77777777" w:rsidR="00B3716F" w:rsidRDefault="00B3716F" w:rsidP="00BA0D95">
      <w:r>
        <w:separator/>
      </w:r>
    </w:p>
  </w:endnote>
  <w:endnote w:type="continuationSeparator" w:id="0">
    <w:p w14:paraId="79F5375B" w14:textId="77777777" w:rsidR="00B3716F" w:rsidRDefault="00B3716F"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F57F" w14:textId="77777777" w:rsidR="00B3716F" w:rsidRDefault="00B3716F" w:rsidP="00BA0D95">
      <w:r>
        <w:separator/>
      </w:r>
    </w:p>
  </w:footnote>
  <w:footnote w:type="continuationSeparator" w:id="0">
    <w:p w14:paraId="6309226B" w14:textId="77777777" w:rsidR="00B3716F" w:rsidRDefault="00B3716F"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207694"/>
    <w:rsid w:val="00246D44"/>
    <w:rsid w:val="00252E10"/>
    <w:rsid w:val="00256FF0"/>
    <w:rsid w:val="00305E50"/>
    <w:rsid w:val="003A6188"/>
    <w:rsid w:val="00452DCA"/>
    <w:rsid w:val="00611468"/>
    <w:rsid w:val="00666D5C"/>
    <w:rsid w:val="006B1D5F"/>
    <w:rsid w:val="00704A99"/>
    <w:rsid w:val="00761A19"/>
    <w:rsid w:val="009B0E69"/>
    <w:rsid w:val="00A278A5"/>
    <w:rsid w:val="00A57AA5"/>
    <w:rsid w:val="00A707F6"/>
    <w:rsid w:val="00AA5C90"/>
    <w:rsid w:val="00B35A12"/>
    <w:rsid w:val="00B3716F"/>
    <w:rsid w:val="00B852AB"/>
    <w:rsid w:val="00BA0D95"/>
    <w:rsid w:val="00BD2EF9"/>
    <w:rsid w:val="00BE7996"/>
    <w:rsid w:val="00CB6774"/>
    <w:rsid w:val="00D910B3"/>
    <w:rsid w:val="00DC42A0"/>
    <w:rsid w:val="00EE117B"/>
    <w:rsid w:val="00F6620B"/>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17</cp:revision>
  <dcterms:created xsi:type="dcterms:W3CDTF">2024-03-21T06:13:00Z</dcterms:created>
  <dcterms:modified xsi:type="dcterms:W3CDTF">2024-03-27T05:23:00Z</dcterms:modified>
</cp:coreProperties>
</file>